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D1" w:rsidRDefault="00F633D1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1544"/>
        <w:gridCol w:w="1543"/>
        <w:gridCol w:w="3149"/>
      </w:tblGrid>
      <w:tr w:rsidR="00F633D1" w:rsidRPr="005B07E6" w:rsidTr="0016254B">
        <w:tc>
          <w:tcPr>
            <w:tcW w:w="9322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F633D1" w:rsidRPr="005B07E6" w:rsidRDefault="00F633D1" w:rsidP="0016254B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 w:rsidR="00F633D1" w:rsidRPr="005B07E6" w:rsidRDefault="00F633D1" w:rsidP="0016254B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 w:rsidRPr="005B07E6">
              <w:rPr>
                <w:b/>
              </w:rPr>
              <w:t>D</w:t>
            </w:r>
            <w:r>
              <w:rPr>
                <w:b/>
              </w:rPr>
              <w:t>ocument d’acceptació del contracte de director de la Unitat d’Estudis Arqueomètrics (Codi 017.44</w:t>
            </w:r>
            <w:r w:rsidRPr="00E81A3E">
              <w:rPr>
                <w:b/>
              </w:rPr>
              <w:t>)</w:t>
            </w:r>
          </w:p>
          <w:p w:rsidR="00F633D1" w:rsidRPr="005B07E6" w:rsidRDefault="00F633D1" w:rsidP="0016254B">
            <w:pPr>
              <w:jc w:val="left"/>
              <w:rPr>
                <w:b/>
                <w:sz w:val="24"/>
              </w:rPr>
            </w:pPr>
          </w:p>
        </w:tc>
      </w:tr>
      <w:tr w:rsidR="00F633D1" w:rsidRPr="005B07E6" w:rsidTr="0016254B">
        <w:tc>
          <w:tcPr>
            <w:tcW w:w="9322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F633D1" w:rsidRPr="005B07E6" w:rsidRDefault="00F633D1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d’identificació de la persona que accepta </w:t>
            </w:r>
            <w:r>
              <w:rPr>
                <w:b/>
                <w:sz w:val="20"/>
                <w:szCs w:val="20"/>
              </w:rPr>
              <w:t>el contracte</w:t>
            </w:r>
          </w:p>
        </w:tc>
      </w:tr>
      <w:tr w:rsidR="00F633D1" w:rsidRPr="005B07E6" w:rsidTr="0016254B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1"/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49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F633D1" w:rsidRPr="005B07E6" w:rsidTr="0016254B">
        <w:tc>
          <w:tcPr>
            <w:tcW w:w="9322" w:type="dxa"/>
            <w:gridSpan w:val="4"/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DNI/NIE/Passaport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                                                         NASS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633D1" w:rsidRPr="005B07E6" w:rsidTr="0016254B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F633D1" w:rsidRPr="005B07E6" w:rsidRDefault="00F633D1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bancàries on el ben</w:t>
            </w:r>
            <w:r>
              <w:rPr>
                <w:b/>
                <w:sz w:val="20"/>
                <w:szCs w:val="20"/>
              </w:rPr>
              <w:t>eficiari vol rebre els pagament</w:t>
            </w:r>
            <w:r w:rsidRPr="005B07E6">
              <w:rPr>
                <w:b/>
                <w:sz w:val="20"/>
                <w:szCs w:val="20"/>
              </w:rPr>
              <w:t xml:space="preserve"> de la </w:t>
            </w:r>
            <w:r>
              <w:rPr>
                <w:b/>
                <w:sz w:val="20"/>
                <w:szCs w:val="20"/>
              </w:rPr>
              <w:t>nòmina</w:t>
            </w:r>
          </w:p>
        </w:tc>
      </w:tr>
      <w:tr w:rsidR="00F633D1" w:rsidRPr="005B07E6" w:rsidTr="0016254B">
        <w:tc>
          <w:tcPr>
            <w:tcW w:w="463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Pr="005B07E6">
              <w:rPr>
                <w:sz w:val="18"/>
                <w:szCs w:val="18"/>
              </w:rPr>
              <w:t xml:space="preserve"> de l’entitat bancària</w:t>
            </w:r>
          </w:p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92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</w:t>
            </w:r>
            <w:r w:rsidRPr="005B07E6">
              <w:rPr>
                <w:sz w:val="18"/>
                <w:szCs w:val="18"/>
              </w:rPr>
              <w:t>IBAN del compte</w:t>
            </w:r>
            <w:r>
              <w:rPr>
                <w:sz w:val="18"/>
                <w:szCs w:val="18"/>
              </w:rPr>
              <w:t xml:space="preserve"> bancari</w:t>
            </w:r>
          </w:p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F633D1" w:rsidRDefault="00F633D1" w:rsidP="00F633D1">
      <w:pPr>
        <w:rPr>
          <w:sz w:val="20"/>
          <w:szCs w:val="20"/>
        </w:rPr>
      </w:pPr>
    </w:p>
    <w:p w:rsidR="00F633D1" w:rsidRDefault="00F633D1" w:rsidP="00F633D1">
      <w:pPr>
        <w:jc w:val="center"/>
        <w:rPr>
          <w:b/>
        </w:rPr>
      </w:pPr>
    </w:p>
    <w:p w:rsidR="00F633D1" w:rsidRPr="00386A04" w:rsidRDefault="00F633D1" w:rsidP="00F633D1">
      <w:pPr>
        <w:jc w:val="center"/>
        <w:rPr>
          <w:b/>
        </w:rPr>
      </w:pPr>
      <w:r w:rsidRPr="00386A04">
        <w:rPr>
          <w:b/>
        </w:rPr>
        <w:t>ACCEPTACIÓ</w:t>
      </w:r>
      <w:r>
        <w:rPr>
          <w:b/>
        </w:rPr>
        <w:t xml:space="preserve"> DEL BENEFICIARI DE:</w:t>
      </w:r>
    </w:p>
    <w:p w:rsidR="00F633D1" w:rsidRPr="00386A04" w:rsidRDefault="00F633D1" w:rsidP="00F633D1">
      <w:pPr>
        <w:jc w:val="center"/>
        <w:rPr>
          <w:b/>
        </w:rPr>
      </w:pPr>
    </w:p>
    <w:p w:rsidR="00F633D1" w:rsidRPr="00F83388" w:rsidRDefault="00F633D1" w:rsidP="00F633D1">
      <w:pPr>
        <w:rPr>
          <w:sz w:val="20"/>
          <w:szCs w:val="20"/>
        </w:rPr>
      </w:pPr>
      <w:r w:rsidRPr="00F83388">
        <w:rPr>
          <w:b/>
          <w:sz w:val="20"/>
          <w:szCs w:val="20"/>
        </w:rPr>
        <w:t>1.</w:t>
      </w:r>
      <w:r w:rsidRPr="00F83388">
        <w:rPr>
          <w:sz w:val="20"/>
          <w:szCs w:val="20"/>
        </w:rPr>
        <w:t xml:space="preserve"> La proposta d’un contracte ofert en la resolució provisional (Base 10 de la convocatòria) de la convocatòria de l’Institut Català d’Arqueologia Clàssica per a la contractació del director de la Unitat d’Estudis Arqueomètrics (Codi 017.44). </w:t>
      </w:r>
    </w:p>
    <w:p w:rsidR="00F633D1" w:rsidRPr="00F83388" w:rsidRDefault="00F633D1" w:rsidP="00F633D1">
      <w:pPr>
        <w:rPr>
          <w:sz w:val="20"/>
          <w:szCs w:val="20"/>
        </w:rPr>
      </w:pPr>
    </w:p>
    <w:p w:rsidR="00F633D1" w:rsidRPr="00F83388" w:rsidRDefault="00F633D1" w:rsidP="00F633D1">
      <w:pPr>
        <w:rPr>
          <w:rFonts w:cs="Arial"/>
          <w:bCs/>
          <w:sz w:val="20"/>
          <w:szCs w:val="20"/>
        </w:rPr>
      </w:pPr>
      <w:r w:rsidRPr="00F83388">
        <w:rPr>
          <w:rFonts w:cs="Arial"/>
          <w:b/>
          <w:bCs/>
          <w:sz w:val="20"/>
          <w:szCs w:val="20"/>
        </w:rPr>
        <w:t>2.</w:t>
      </w:r>
      <w:r w:rsidRPr="00F83388">
        <w:rPr>
          <w:rFonts w:cs="Arial"/>
          <w:bCs/>
          <w:sz w:val="20"/>
          <w:szCs w:val="20"/>
        </w:rPr>
        <w:t xml:space="preserve"> Els drets i les obligacions que té com a persona contractada, fixats en la Base 12 de l’esmentada convocatòria, i que són:</w:t>
      </w:r>
    </w:p>
    <w:p w:rsidR="00F633D1" w:rsidRPr="00F83388" w:rsidRDefault="00F633D1" w:rsidP="00F633D1">
      <w:pPr>
        <w:ind w:left="454" w:hanging="454"/>
        <w:rPr>
          <w:rFonts w:cs="Arial"/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t>12.1. Acceptar i complir les condicions d’aquesta convocatòria i les normes de règim intern de l’ICAC.</w:t>
      </w: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t>12.2. Incorporar-se a l’ICAC i complir les normes de seguretat i salut laboral de l’Institut, d’acord amb el que estableix la Llei 31/1995, de 8 de novembre, de prevenció de riscos laborals.</w:t>
      </w: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t>12.3. Executar el Pla d’actuació de la UEA presentat a la convocatòria d’acord amb les instruccions que rebi de la direcció de l’ICAC.</w:t>
      </w: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t>12.4. Assumir la direcció de la UEA de l’ICAC</w:t>
      </w:r>
      <w:r>
        <w:rPr>
          <w:sz w:val="20"/>
          <w:szCs w:val="20"/>
        </w:rPr>
        <w:t>.</w:t>
      </w: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t>12.5. Demanar autorització a l’ICAC per fer qualsevol canvi, viatge o estada, o per a qualsevol incidència que afecti el desenvolupament del contracte i el pla de treball.</w:t>
      </w: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t>12.6. Col·laborar en d’altres programes i projectes de l’ICAC, en el conjunt d’activitats generals de l’Institut i assistir, sempre que pugui, a les activitats científiques que organitzi l’Institut.</w:t>
      </w: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t xml:space="preserve">12.7. Quant als drets de propietat intel·lectual que puguin generar-se durant la durada del contracte i les accions de transferència del coneixement, es tindrà en compte, entre d’altres, el que estableix l’article 35 de la Llei 14/2011, d’1 de juny, de la ciència, la tecnologia i la innovació i l’article 53 i següents de la Llei 2/2011, de 4 de març, d’economia sostenible. </w:t>
      </w: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t>12.8. Presentar l’informe de seguiment del contracte a l’ICAC en els terminis fixats en la Base 13 d’aquesta convocatòria.</w:t>
      </w: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lastRenderedPageBreak/>
        <w:t>12.9. Comunicar, si s’escau, la renúncia del contracte laboral mitjançant escrit motivat adreçat al director de l’Institut.</w:t>
      </w: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t xml:space="preserve">12.10. </w:t>
      </w:r>
      <w:r>
        <w:rPr>
          <w:sz w:val="20"/>
          <w:szCs w:val="20"/>
        </w:rPr>
        <w:t xml:space="preserve">Informar, si la </w:t>
      </w:r>
      <w:r w:rsidRPr="00F83388">
        <w:rPr>
          <w:sz w:val="20"/>
          <w:szCs w:val="20"/>
        </w:rPr>
        <w:t>persona contractada</w:t>
      </w:r>
      <w:r>
        <w:rPr>
          <w:sz w:val="20"/>
          <w:szCs w:val="20"/>
        </w:rPr>
        <w:t xml:space="preserve"> </w:t>
      </w:r>
      <w:r w:rsidRPr="00F83388">
        <w:rPr>
          <w:sz w:val="20"/>
          <w:szCs w:val="20"/>
        </w:rPr>
        <w:t>és estrangera</w:t>
      </w:r>
      <w:r>
        <w:rPr>
          <w:sz w:val="20"/>
          <w:szCs w:val="20"/>
        </w:rPr>
        <w:t xml:space="preserve">, </w:t>
      </w:r>
      <w:r w:rsidRPr="00F83388">
        <w:rPr>
          <w:sz w:val="20"/>
          <w:szCs w:val="20"/>
        </w:rPr>
        <w:t>d’una adreça postal, d’un municipi de Catalunya, que serà vàlida per a les notificacions i altres trameses de  dades que sigui menester, sempre que no es pugui informar a través de l’adreça electrònica, que serà la via preferent.</w:t>
      </w: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</w:p>
    <w:p w:rsidR="00F633D1" w:rsidRPr="00F83388" w:rsidRDefault="00F633D1" w:rsidP="00F633D1">
      <w:pPr>
        <w:ind w:left="454" w:hanging="454"/>
        <w:rPr>
          <w:sz w:val="20"/>
          <w:szCs w:val="20"/>
        </w:rPr>
      </w:pPr>
      <w:r w:rsidRPr="00F83388">
        <w:rPr>
          <w:sz w:val="20"/>
          <w:szCs w:val="20"/>
        </w:rPr>
        <w:t xml:space="preserve">12.11. </w:t>
      </w:r>
      <w:r>
        <w:rPr>
          <w:sz w:val="20"/>
          <w:szCs w:val="20"/>
        </w:rPr>
        <w:t>Observar els aspectes</w:t>
      </w:r>
      <w:r w:rsidRPr="00F83388">
        <w:rPr>
          <w:sz w:val="20"/>
          <w:szCs w:val="20"/>
        </w:rPr>
        <w:t xml:space="preserve"> a tenir en compte per al tancament del lloc de treball</w:t>
      </w:r>
      <w:r w:rsidRPr="00145CCD">
        <w:rPr>
          <w:sz w:val="20"/>
          <w:szCs w:val="20"/>
        </w:rPr>
        <w:t xml:space="preserve"> </w:t>
      </w:r>
      <w:r>
        <w:rPr>
          <w:sz w:val="20"/>
          <w:szCs w:val="20"/>
        </w:rPr>
        <w:t>que figuraran e</w:t>
      </w:r>
      <w:r w:rsidRPr="00F83388">
        <w:rPr>
          <w:sz w:val="20"/>
          <w:szCs w:val="20"/>
        </w:rPr>
        <w:t>n un annex al contracte laboral. Un cop resolts els deures per al tancament del contracte, l’ICAC abonarà la quitança a</w:t>
      </w:r>
      <w:r>
        <w:rPr>
          <w:sz w:val="20"/>
          <w:szCs w:val="20"/>
        </w:rPr>
        <w:t xml:space="preserve"> </w:t>
      </w:r>
      <w:r w:rsidRPr="00F83388">
        <w:rPr>
          <w:sz w:val="20"/>
          <w:szCs w:val="20"/>
        </w:rPr>
        <w:t>l</w:t>
      </w:r>
      <w:r>
        <w:rPr>
          <w:sz w:val="20"/>
          <w:szCs w:val="20"/>
        </w:rPr>
        <w:t>’</w:t>
      </w:r>
      <w:r w:rsidRPr="00F83388">
        <w:rPr>
          <w:sz w:val="20"/>
          <w:szCs w:val="20"/>
        </w:rPr>
        <w:t>investigador júnior contractat.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F633D1" w:rsidRPr="005B07E6" w:rsidTr="0016254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F633D1" w:rsidRPr="005B07E6" w:rsidRDefault="00F633D1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Documentació annexa al document d’acceptació </w:t>
            </w:r>
            <w:r w:rsidRPr="005B07E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Base 10.3</w:t>
            </w:r>
            <w:r w:rsidRPr="005B07E6">
              <w:rPr>
                <w:sz w:val="18"/>
                <w:szCs w:val="18"/>
              </w:rPr>
              <w:t>)</w:t>
            </w:r>
          </w:p>
        </w:tc>
      </w:tr>
      <w:tr w:rsidR="00F633D1" w:rsidRPr="005B07E6" w:rsidTr="0016254B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</w:p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Documentació compulsada:</w:t>
            </w:r>
          </w:p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</w:p>
          <w:p w:rsidR="00F633D1" w:rsidRPr="005B07E6" w:rsidRDefault="00F633D1" w:rsidP="0016254B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erifica2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5B07E6">
              <w:rPr>
                <w:rFonts w:cs="Arial"/>
                <w:sz w:val="18"/>
                <w:szCs w:val="18"/>
              </w:rPr>
              <w:t xml:space="preserve"> Fotocòpia del títol de grau </w:t>
            </w:r>
            <w:r>
              <w:rPr>
                <w:rFonts w:cs="Arial"/>
                <w:sz w:val="18"/>
                <w:szCs w:val="18"/>
              </w:rPr>
              <w:t>de doctor</w:t>
            </w:r>
            <w:r w:rsidRPr="005B07E6">
              <w:rPr>
                <w:rFonts w:cs="Arial"/>
                <w:sz w:val="18"/>
                <w:szCs w:val="18"/>
              </w:rPr>
              <w:t xml:space="preserve"> o bé del resguard acadè</w:t>
            </w:r>
            <w:r>
              <w:rPr>
                <w:rFonts w:cs="Arial"/>
                <w:sz w:val="18"/>
                <w:szCs w:val="18"/>
              </w:rPr>
              <w:t>mic corresponent.</w:t>
            </w:r>
          </w:p>
          <w:p w:rsidR="00F633D1" w:rsidRPr="005B07E6" w:rsidRDefault="00F633D1" w:rsidP="0016254B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erifica2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"/>
            <w:r w:rsidRPr="005B07E6"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>Fotocòpia del DNI, NIF o passaport.</w:t>
            </w:r>
          </w:p>
        </w:tc>
      </w:tr>
      <w:tr w:rsidR="00F633D1" w:rsidRPr="005B07E6" w:rsidTr="0016254B">
        <w:tc>
          <w:tcPr>
            <w:tcW w:w="9237" w:type="dxa"/>
            <w:tcBorders>
              <w:bottom w:val="single" w:sz="12" w:space="0" w:color="auto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</w:p>
          <w:p w:rsidR="00F633D1" w:rsidRPr="005B07E6" w:rsidRDefault="00F633D1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 xml:space="preserve">ata i signatura de la persona que accepta </w:t>
            </w:r>
            <w:r>
              <w:rPr>
                <w:sz w:val="18"/>
                <w:szCs w:val="18"/>
              </w:rPr>
              <w:t>el contracte</w:t>
            </w:r>
          </w:p>
        </w:tc>
      </w:tr>
      <w:tr w:rsidR="00F633D1" w:rsidRPr="005B07E6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F633D1" w:rsidRPr="005B07E6" w:rsidRDefault="00F633D1" w:rsidP="0016254B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9"/>
          </w:p>
          <w:p w:rsidR="00F633D1" w:rsidRPr="005B07E6" w:rsidRDefault="00F633D1" w:rsidP="0016254B">
            <w:pPr>
              <w:jc w:val="left"/>
              <w:rPr>
                <w:b/>
                <w:szCs w:val="22"/>
              </w:rPr>
            </w:pPr>
          </w:p>
          <w:p w:rsidR="00F633D1" w:rsidRPr="005B07E6" w:rsidRDefault="00F633D1" w:rsidP="0016254B">
            <w:pPr>
              <w:jc w:val="left"/>
              <w:rPr>
                <w:b/>
                <w:szCs w:val="22"/>
              </w:rPr>
            </w:pPr>
          </w:p>
          <w:p w:rsidR="00F633D1" w:rsidRDefault="00F633D1" w:rsidP="0016254B">
            <w:pPr>
              <w:jc w:val="left"/>
              <w:rPr>
                <w:b/>
                <w:szCs w:val="22"/>
              </w:rPr>
            </w:pPr>
          </w:p>
          <w:p w:rsidR="00F633D1" w:rsidRDefault="00F633D1" w:rsidP="0016254B">
            <w:pPr>
              <w:jc w:val="left"/>
              <w:rPr>
                <w:b/>
                <w:szCs w:val="22"/>
              </w:rPr>
            </w:pPr>
          </w:p>
          <w:p w:rsidR="00F633D1" w:rsidRPr="005B07E6" w:rsidRDefault="00F633D1" w:rsidP="0016254B">
            <w:pPr>
              <w:jc w:val="left"/>
              <w:rPr>
                <w:b/>
                <w:szCs w:val="22"/>
              </w:rPr>
            </w:pPr>
          </w:p>
          <w:p w:rsidR="00F633D1" w:rsidRPr="005B07E6" w:rsidRDefault="00F633D1" w:rsidP="0016254B">
            <w:pPr>
              <w:jc w:val="left"/>
              <w:rPr>
                <w:b/>
                <w:szCs w:val="22"/>
              </w:rPr>
            </w:pPr>
          </w:p>
        </w:tc>
      </w:tr>
    </w:tbl>
    <w:p w:rsidR="00F633D1" w:rsidRPr="00065832" w:rsidRDefault="00F633D1" w:rsidP="00F633D1">
      <w:r w:rsidRPr="005B07E6">
        <w:rPr>
          <w:b/>
          <w:szCs w:val="22"/>
        </w:rPr>
        <w:t>Sr. Director de l’Institut Català d’Arqueologia Clàssica</w:t>
      </w: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7E" w:rsidRDefault="00D2397E">
      <w:r>
        <w:separator/>
      </w:r>
    </w:p>
  </w:endnote>
  <w:endnote w:type="continuationSeparator" w:id="0">
    <w:p w:rsidR="00D2397E" w:rsidRDefault="00D2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F633D1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7E" w:rsidRDefault="00D2397E">
      <w:r>
        <w:separator/>
      </w:r>
    </w:p>
  </w:footnote>
  <w:footnote w:type="continuationSeparator" w:id="0">
    <w:p w:rsidR="00D2397E" w:rsidRDefault="00D23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F633D1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>
          <wp:extent cx="1233805" cy="685800"/>
          <wp:effectExtent l="0" t="0" r="4445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5lCA84HeHK5bJB4ixcJGGD4yMk=" w:salt="Q3f1ur2f15bHEdv+X2FP1g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D1"/>
    <w:rsid w:val="00064E38"/>
    <w:rsid w:val="00065832"/>
    <w:rsid w:val="00145E72"/>
    <w:rsid w:val="001C090B"/>
    <w:rsid w:val="001F7AC0"/>
    <w:rsid w:val="00206A83"/>
    <w:rsid w:val="0034755A"/>
    <w:rsid w:val="003D1B9E"/>
    <w:rsid w:val="003D5AAE"/>
    <w:rsid w:val="0042585A"/>
    <w:rsid w:val="00444D41"/>
    <w:rsid w:val="0051706B"/>
    <w:rsid w:val="00522844"/>
    <w:rsid w:val="00536AC3"/>
    <w:rsid w:val="00555336"/>
    <w:rsid w:val="00564FAE"/>
    <w:rsid w:val="005F1CED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9401AC"/>
    <w:rsid w:val="00961944"/>
    <w:rsid w:val="00977489"/>
    <w:rsid w:val="00987C44"/>
    <w:rsid w:val="00A12C32"/>
    <w:rsid w:val="00A21652"/>
    <w:rsid w:val="00A51F94"/>
    <w:rsid w:val="00A71A2D"/>
    <w:rsid w:val="00A831C1"/>
    <w:rsid w:val="00AA5933"/>
    <w:rsid w:val="00AA5FBE"/>
    <w:rsid w:val="00B15B7A"/>
    <w:rsid w:val="00B31B8B"/>
    <w:rsid w:val="00BB0D93"/>
    <w:rsid w:val="00BB3C2C"/>
    <w:rsid w:val="00CA295A"/>
    <w:rsid w:val="00CF2FD3"/>
    <w:rsid w:val="00D2397E"/>
    <w:rsid w:val="00D93E06"/>
    <w:rsid w:val="00E060C5"/>
    <w:rsid w:val="00EE1E29"/>
    <w:rsid w:val="00F45BB8"/>
    <w:rsid w:val="00F503AC"/>
    <w:rsid w:val="00F633D1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3D1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3D1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ED5A-E069-45B9-87A5-63D3374B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3365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raya</cp:lastModifiedBy>
  <cp:revision>1</cp:revision>
  <cp:lastPrinted>2016-05-23T13:09:00Z</cp:lastPrinted>
  <dcterms:created xsi:type="dcterms:W3CDTF">2016-12-22T09:34:00Z</dcterms:created>
  <dcterms:modified xsi:type="dcterms:W3CDTF">2016-12-22T09:35:00Z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